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C1686D">
              <w:rPr>
                <w:u w:val="single"/>
              </w:rPr>
              <w:t>19</w:t>
            </w:r>
            <w:r w:rsidRPr="00E347AD">
              <w:rPr>
                <w:u w:val="single"/>
              </w:rPr>
              <w:t xml:space="preserve">» </w:t>
            </w:r>
            <w:r w:rsidR="00567D94">
              <w:rPr>
                <w:u w:val="single"/>
              </w:rPr>
              <w:t>октябр</w:t>
            </w:r>
            <w:r w:rsidR="00E43D48">
              <w:rPr>
                <w:u w:val="single"/>
              </w:rPr>
              <w:t>я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</w:rPr>
              <w:t xml:space="preserve">№ </w:t>
            </w:r>
            <w:r w:rsidR="007A5BEC">
              <w:rPr>
                <w:bCs/>
              </w:rPr>
              <w:t>1173</w:t>
            </w:r>
            <w:r w:rsidR="00347002">
              <w:rPr>
                <w:bCs/>
              </w:rPr>
              <w:t>-р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7AD" w:rsidRPr="00E347AD" w:rsidTr="00757B38">
        <w:trPr>
          <w:trHeight w:val="1109"/>
        </w:trPr>
        <w:tc>
          <w:tcPr>
            <w:tcW w:w="4786" w:type="dxa"/>
            <w:shd w:val="clear" w:color="auto" w:fill="auto"/>
          </w:tcPr>
          <w:p w:rsidR="00E347AD" w:rsidRPr="00E347AD" w:rsidRDefault="00567D94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D94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895E7D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895E7D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895E7D">
        <w:rPr>
          <w:rFonts w:ascii="Times New Roman" w:hAnsi="Times New Roman"/>
          <w:sz w:val="26"/>
          <w:szCs w:val="26"/>
        </w:rPr>
        <w:t>100-летия</w:t>
      </w:r>
      <w:r w:rsidR="00E00B65" w:rsidRPr="00895E7D">
        <w:rPr>
          <w:rFonts w:ascii="Times New Roman" w:hAnsi="Times New Roman"/>
          <w:sz w:val="26"/>
          <w:szCs w:val="26"/>
        </w:rPr>
        <w:t xml:space="preserve"> Республики</w:t>
      </w:r>
      <w:r w:rsidR="00E00B65" w:rsidRPr="00E00B65">
        <w:rPr>
          <w:rFonts w:ascii="Times New Roman" w:hAnsi="Times New Roman"/>
          <w:sz w:val="26"/>
          <w:szCs w:val="26"/>
        </w:rPr>
        <w:t xml:space="preserve"> Коми</w:t>
      </w:r>
    </w:p>
    <w:p w:rsidR="00092BFC" w:rsidRPr="00A77C73" w:rsidRDefault="00092BF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</w:p>
    <w:p w:rsidR="00D86241" w:rsidRDefault="00D86241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E42F9" w:rsidRPr="00567D94">
        <w:rPr>
          <w:sz w:val="26"/>
          <w:szCs w:val="26"/>
        </w:rPr>
        <w:t>План мероприятий по подготовке и празднованию 100-летия Республики Коми на территории МР «Печора»</w:t>
      </w:r>
      <w:r w:rsidRPr="00D86241">
        <w:rPr>
          <w:sz w:val="26"/>
          <w:szCs w:val="26"/>
        </w:rPr>
        <w:t>согласно приложению.</w:t>
      </w:r>
    </w:p>
    <w:p w:rsidR="00087837" w:rsidRPr="00087837" w:rsidRDefault="006C5AFE" w:rsidP="00F324FB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087837">
        <w:rPr>
          <w:sz w:val="26"/>
          <w:szCs w:val="26"/>
        </w:rPr>
        <w:t>Контроль за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087837">
        <w:rPr>
          <w:sz w:val="25"/>
          <w:szCs w:val="25"/>
        </w:rPr>
        <w:t>за выполнением распоряжения возложить на заместителя главы администрации муниципального района «Печора» Шахову И.А.</w:t>
      </w:r>
      <w:r w:rsidR="00087837" w:rsidRPr="00087837">
        <w:rPr>
          <w:sz w:val="25"/>
          <w:szCs w:val="25"/>
        </w:rPr>
        <w:tab/>
      </w:r>
    </w:p>
    <w:p w:rsidR="006C5AFE" w:rsidRPr="00D86241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>
        <w:rPr>
          <w:rFonts w:eastAsiaTheme="minorEastAsia"/>
          <w:bCs/>
          <w:color w:val="000000"/>
        </w:rPr>
        <w:t>19</w:t>
      </w:r>
      <w:r w:rsidRPr="00B02ADD">
        <w:rPr>
          <w:rFonts w:eastAsiaTheme="minorEastAsia"/>
          <w:bCs/>
          <w:color w:val="000000"/>
        </w:rPr>
        <w:t>.</w:t>
      </w:r>
      <w:r>
        <w:rPr>
          <w:rFonts w:eastAsiaTheme="minorEastAsia"/>
          <w:bCs/>
          <w:color w:val="000000"/>
        </w:rPr>
        <w:t>10</w:t>
      </w:r>
      <w:r w:rsidRPr="00B02ADD">
        <w:rPr>
          <w:rFonts w:eastAsiaTheme="minorEastAsia"/>
          <w:bCs/>
          <w:color w:val="000000"/>
        </w:rPr>
        <w:t xml:space="preserve">.2017 года № </w:t>
      </w:r>
      <w:r>
        <w:rPr>
          <w:bCs/>
        </w:rPr>
        <w:t xml:space="preserve">1173-р      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Утверждение состава оргкомитета 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Отбор и утверждение перечня приоритетных </w:t>
            </w:r>
            <w:r w:rsidRPr="00B02ADD">
              <w:rPr>
                <w:rFonts w:eastAsiaTheme="minorEastAsia"/>
                <w:color w:val="000000"/>
              </w:rPr>
              <w:lastRenderedPageBreak/>
              <w:t>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Оргкомитет по подготовке и </w:t>
            </w:r>
            <w:r w:rsidRPr="00B02ADD">
              <w:rPr>
                <w:rFonts w:eastAsiaTheme="minorEastAsia"/>
                <w:color w:val="000000"/>
              </w:rPr>
              <w:lastRenderedPageBreak/>
              <w:t>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Привлечение широкого круга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Отдел по работе с информационными технологи-</w:t>
            </w:r>
            <w:proofErr w:type="spellStart"/>
            <w:r w:rsidRPr="00B02ADD">
              <w:rPr>
                <w:rFonts w:eastAsia="Calibri"/>
              </w:rPr>
              <w:t>ями</w:t>
            </w:r>
            <w:proofErr w:type="spellEnd"/>
            <w:r w:rsidRPr="00B02ADD">
              <w:rPr>
                <w:rFonts w:eastAsia="Calibri"/>
              </w:rPr>
              <w:t xml:space="preserve">, отдел информационно-аналитической работы и общественных </w:t>
            </w:r>
            <w:proofErr w:type="gramStart"/>
            <w:r w:rsidRPr="00B02ADD">
              <w:rPr>
                <w:rFonts w:eastAsia="Calibri"/>
              </w:rPr>
              <w:t xml:space="preserve">связей,   </w:t>
            </w:r>
            <w:proofErr w:type="gramEnd"/>
            <w:r w:rsidRPr="00B02ADD">
              <w:rPr>
                <w:rFonts w:eastAsia="Calibri"/>
              </w:rPr>
              <w:t xml:space="preserve">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Главы (руководители администраций) городских и </w:t>
            </w:r>
            <w:r w:rsidRPr="00B02ADD">
              <w:rPr>
                <w:rFonts w:eastAsiaTheme="minorEastAsia"/>
                <w:color w:val="000000"/>
              </w:rPr>
              <w:lastRenderedPageBreak/>
              <w:t>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зданий Кинотеатра им. М.Горького,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Сохранение и развитие своей культурно-исторической самобытности, защита, 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Реконструкция памятников участников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F0CC4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Берегоукрепительные работы в рамках проекта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планировки территории 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2018-2020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социально-культурного центра на базе МОУ «СОШ им. И.Е. Кулакова» в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Создания на базе школы единого центра для творчества, спорта и отдыха, отвечающего интересам всех поколений, возрождения и 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2017-2019гг.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Устройство спортивного ядра на территории МОУ «Гимназия № 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="Batang"/>
              </w:rPr>
              <w:t xml:space="preserve">Управление образования МР «Печора» (по соглашению с </w:t>
            </w:r>
            <w:r w:rsidRPr="00B02ADD">
              <w:rPr>
                <w:rFonts w:eastAsiaTheme="minorEastAsia"/>
              </w:rPr>
              <w:t>«ООО Газпром трансгаз Ухта»)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Обустройство игровой площадки для детей МДОУ «Детский сад п.Озерный»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капитального ремонта спортивного комплекса «Энергетик»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КУМС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занятий спортом на территории МР «Печора», увеличение числа спортивных кружков и секций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МР «Печора» (в том числе по соглашению с ООО «Лукойл-Коми»,  филиалом «Печорская ГРЭС» АО «Интер РАО-Электрогенерация») 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предоставления услуг в сфере 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III. ИЗГОТОВЛЕНИЕ СУВЕНИРНОЙ, ПЕЧАТНОЙ, КИНО-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Издание Свода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Свода памятников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Выпуск библиографического сборника о 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печорцах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Демонстрация культурного и туристического потенциала, достижений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Продвижение продукции местных производителей в рамках проекта «Выбирай наше!»; поддержка 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Открытие музея в Доме культуры железнодорожников г.Печоры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систематизация подлинных уникальных материалов, фотографий, документов, связанных с историей ДКЖ, железнодорожного транспорта, города Печоры и его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муниципального фестиваля-конкурса «Достояние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6"/>
              </w:rPr>
            </w:pPr>
            <w:r w:rsidRPr="00B02ADD">
              <w:rPr>
                <w:rFonts w:eastAsiaTheme="minorEastAsia"/>
                <w:color w:val="000000"/>
              </w:rPr>
              <w:t>Выявление и чествование лучших семей МР «Печора», укрепление института семьи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межпоселенческого фестиваля-конкурса «Северные узоры»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Выявление наиболее талантливых и ярких исполнителей в хореографии, вокальном и театральном  искусстве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возможностей, которые открывает город.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игр открытой юниор-лиги КВН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Выявления и поддержка талантливых авторов и исполнителей в командах КВН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школьного и муниципального  этапов олимпиады по коми языку.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у учащихся творческих способностей и интереса к изучению коми культуры и языка.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изобразительного искусства «Земля моя -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Воспитание патриотических чувств средствами изобразительной деятельности.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детского фестиваля коми 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развитие традиций 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ЗолотаяСТОметровка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066F9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AB6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3396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C2EC-0387-4636-9AA9-2757DBA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Татьяна</cp:lastModifiedBy>
  <cp:revision>3</cp:revision>
  <cp:lastPrinted>2017-10-20T11:00:00Z</cp:lastPrinted>
  <dcterms:created xsi:type="dcterms:W3CDTF">2018-08-17T19:09:00Z</dcterms:created>
  <dcterms:modified xsi:type="dcterms:W3CDTF">2018-08-17T19:09:00Z</dcterms:modified>
</cp:coreProperties>
</file>